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2" w14:textId="1218ED63" w:rsidR="00A84EEA" w:rsidRDefault="005838C2">
      <w:pPr>
        <w:rPr>
          <w:rFonts w:ascii="Arial" w:eastAsia="Arial" w:hAnsi="Arial" w:cs="Arial"/>
          <w:b/>
        </w:rPr>
      </w:pPr>
      <w:r>
        <w:rPr>
          <w:rFonts w:ascii="Arial" w:eastAsia="Arial" w:hAnsi="Arial" w:cs="Arial"/>
          <w:b/>
          <w:noProof/>
        </w:rPr>
        <w:drawing>
          <wp:inline distT="0" distB="0" distL="0" distR="0" wp14:anchorId="6157B865" wp14:editId="1476B690">
            <wp:extent cx="1078994" cy="1078994"/>
            <wp:effectExtent l="0" t="0" r="6985" b="6985"/>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FAVC_modul.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78994" cy="1078994"/>
                    </a:xfrm>
                    <a:prstGeom prst="rect">
                      <a:avLst/>
                    </a:prstGeom>
                  </pic:spPr>
                </pic:pic>
              </a:graphicData>
            </a:graphic>
          </wp:inline>
        </w:drawing>
      </w:r>
      <w:r w:rsidR="00EA715A">
        <w:rPr>
          <w:rFonts w:ascii="Arial" w:eastAsia="Arial" w:hAnsi="Arial" w:cs="Arial"/>
          <w:b/>
        </w:rPr>
        <w:t>Model de Declaració Instituc</w:t>
      </w:r>
      <w:r>
        <w:rPr>
          <w:rFonts w:ascii="Arial" w:eastAsia="Arial" w:hAnsi="Arial" w:cs="Arial"/>
          <w:b/>
        </w:rPr>
        <w:t>ional / Resolució / Moció per als a</w:t>
      </w:r>
      <w:r w:rsidR="00EA715A">
        <w:rPr>
          <w:rFonts w:ascii="Arial" w:eastAsia="Arial" w:hAnsi="Arial" w:cs="Arial"/>
          <w:b/>
        </w:rPr>
        <w:t xml:space="preserve">juntaments: </w:t>
      </w:r>
    </w:p>
    <w:p w14:paraId="00000003" w14:textId="77777777" w:rsidR="00A84EEA" w:rsidRDefault="00A84EEA">
      <w:pPr>
        <w:spacing w:before="120" w:after="120"/>
        <w:jc w:val="both"/>
        <w:rPr>
          <w:rFonts w:ascii="Arial" w:eastAsia="Arial" w:hAnsi="Arial" w:cs="Arial"/>
        </w:rPr>
      </w:pPr>
      <w:bookmarkStart w:id="0" w:name="_GoBack"/>
      <w:bookmarkEnd w:id="0"/>
    </w:p>
    <w:p w14:paraId="00000004" w14:textId="77777777" w:rsidR="00A84EEA" w:rsidRDefault="00EA715A">
      <w:pPr>
        <w:spacing w:before="120" w:after="120"/>
        <w:jc w:val="both"/>
        <w:rPr>
          <w:rFonts w:ascii="Arial" w:eastAsia="Arial" w:hAnsi="Arial" w:cs="Arial"/>
          <w:b/>
        </w:rPr>
      </w:pPr>
      <w:r>
        <w:rPr>
          <w:rFonts w:ascii="Arial" w:eastAsia="Arial" w:hAnsi="Arial" w:cs="Arial"/>
          <w:b/>
        </w:rPr>
        <w:t>MOCIÓ/ DECLARACIÓ INSTITUCIONAL/ RESOLUCIÓ PER GARANTIR EL DRET A L’EMPADRONAMENT AL</w:t>
      </w:r>
      <w:r>
        <w:rPr>
          <w:rFonts w:ascii="Arial" w:eastAsia="Arial" w:hAnsi="Arial" w:cs="Arial"/>
          <w:b/>
          <w:color w:val="FF0000"/>
        </w:rPr>
        <w:t xml:space="preserve"> MUNICIPI XXX</w:t>
      </w:r>
      <w:r>
        <w:rPr>
          <w:rFonts w:ascii="Arial" w:eastAsia="Arial" w:hAnsi="Arial" w:cs="Arial"/>
          <w:b/>
        </w:rPr>
        <w:t>:</w:t>
      </w:r>
    </w:p>
    <w:p w14:paraId="00000005" w14:textId="77777777" w:rsidR="00A84EEA" w:rsidRDefault="00EA715A">
      <w:pPr>
        <w:spacing w:before="240"/>
        <w:jc w:val="both"/>
        <w:rPr>
          <w:rFonts w:ascii="Arial" w:eastAsia="Arial" w:hAnsi="Arial" w:cs="Arial"/>
        </w:rPr>
      </w:pPr>
      <w:r>
        <w:rPr>
          <w:rFonts w:ascii="Arial" w:eastAsia="Arial" w:hAnsi="Arial" w:cs="Arial"/>
        </w:rPr>
        <w:t xml:space="preserve">El padró té per objectiu conèixer quina és la població real de cada municipi i és una eina fonamental per poder desenvolupar una acció de govern eficient, facilitant la planificació dels serveis. La inscripció al padró atorga la condició de veí o veïna del municipi. </w:t>
      </w:r>
    </w:p>
    <w:p w14:paraId="00000006" w14:textId="77777777" w:rsidR="00A84EEA" w:rsidRDefault="00EA715A">
      <w:pPr>
        <w:spacing w:before="240"/>
        <w:jc w:val="both"/>
        <w:rPr>
          <w:rFonts w:ascii="Arial" w:eastAsia="Arial" w:hAnsi="Arial" w:cs="Arial"/>
        </w:rPr>
      </w:pPr>
      <w:r>
        <w:rPr>
          <w:rFonts w:ascii="Arial" w:eastAsia="Arial" w:hAnsi="Arial" w:cs="Arial"/>
        </w:rPr>
        <w:t xml:space="preserve">Tal com recull la </w:t>
      </w:r>
      <w:r>
        <w:rPr>
          <w:rFonts w:ascii="Arial" w:eastAsia="Arial" w:hAnsi="Arial" w:cs="Arial"/>
          <w:i/>
        </w:rPr>
        <w:t>Llei 7/1985, de 2 d’abril, reguladora de les bases del règim local,</w:t>
      </w:r>
      <w:r>
        <w:rPr>
          <w:rFonts w:ascii="Arial" w:eastAsia="Arial" w:hAnsi="Arial" w:cs="Arial"/>
        </w:rPr>
        <w:t xml:space="preserve"> tota persona que viu en un municipi té l’obligació jurídica d’empadronar-se. L’Ajuntament, per tant, ha de garantir i facilitar l’exercici d’aquesta obligació. </w:t>
      </w:r>
    </w:p>
    <w:p w14:paraId="00000007" w14:textId="77777777" w:rsidR="00A84EEA" w:rsidRDefault="00EA715A">
      <w:pPr>
        <w:spacing w:before="240"/>
        <w:jc w:val="both"/>
        <w:rPr>
          <w:rFonts w:ascii="Arial" w:eastAsia="Arial" w:hAnsi="Arial" w:cs="Arial"/>
        </w:rPr>
      </w:pPr>
      <w:r>
        <w:rPr>
          <w:rFonts w:ascii="Arial" w:eastAsia="Arial" w:hAnsi="Arial" w:cs="Arial"/>
        </w:rPr>
        <w:t>A més, la inscripció al padró és un dret d’accés a drets perquè actua com a porta d’entrada per al gaudi d’un conjunt de drets humans com ara el dret al sufragi universal, l’accés a l’educació, a la salut, als serveis socials o a drets connectats amb la normativa reguladora dels drets dels estrangers (com l’obtenció de l’autorització de residència i treball). Cal assenyalar que el padró és un tràmit administratiu per accedir als drets, i no un mecanisme que n’atorga. La universalitat dels drets és un dels principis bàsics de la Declaració Universal dels Drets Humans i, per tant, les administracions han de garantir l'accés a totes les persones, sense discriminació ni traves administratives.</w:t>
      </w:r>
    </w:p>
    <w:p w14:paraId="00000008" w14:textId="77777777" w:rsidR="00A84EEA" w:rsidRDefault="00EA715A">
      <w:pPr>
        <w:spacing w:before="240"/>
        <w:jc w:val="both"/>
        <w:rPr>
          <w:rFonts w:ascii="Arial" w:eastAsia="Arial" w:hAnsi="Arial" w:cs="Arial"/>
        </w:rPr>
      </w:pPr>
      <w:r>
        <w:rPr>
          <w:rFonts w:ascii="Arial" w:eastAsia="Arial" w:hAnsi="Arial" w:cs="Arial"/>
        </w:rPr>
        <w:t xml:space="preserve">Tant la normativa existent, com les instruccions de l'Institut Nacional d’Estadística (Resolució de 4 de juliol de 1997, de 30 de gener de 2015 i de 17 febrer de 2020), possibiliten l’alta al padró en els casos en què la persona sol·licitant no té un títol jurídic amb relació al seu domicili o bé no disposa d’un domicili fix, assignant-los una adreça institucional, d’alguna entitat social o bé fictícia. La mateixa normativa reconeix diferents realitats </w:t>
      </w:r>
      <w:proofErr w:type="spellStart"/>
      <w:r>
        <w:rPr>
          <w:rFonts w:ascii="Arial" w:eastAsia="Arial" w:hAnsi="Arial" w:cs="Arial"/>
        </w:rPr>
        <w:t>d’infrahabitatge</w:t>
      </w:r>
      <w:proofErr w:type="spellEnd"/>
      <w:r>
        <w:rPr>
          <w:rFonts w:ascii="Arial" w:eastAsia="Arial" w:hAnsi="Arial" w:cs="Arial"/>
        </w:rPr>
        <w:t xml:space="preserve"> com a domicilis vàlids per al registre al padró, sense la necessitat d’entrar en controvèrsies respecte a la propietat o les condicions d’habitabilitat, per les quals hi ha altres instruments per poder intervenir. </w:t>
      </w:r>
    </w:p>
    <w:p w14:paraId="00000009" w14:textId="77777777" w:rsidR="00A84EEA" w:rsidRDefault="00EA715A">
      <w:pPr>
        <w:spacing w:before="240"/>
        <w:jc w:val="both"/>
        <w:rPr>
          <w:rFonts w:ascii="Arial" w:eastAsia="Arial" w:hAnsi="Arial" w:cs="Arial"/>
        </w:rPr>
      </w:pPr>
      <w:r>
        <w:rPr>
          <w:rFonts w:ascii="Arial" w:eastAsia="Arial" w:hAnsi="Arial" w:cs="Arial"/>
        </w:rPr>
        <w:t xml:space="preserve">Com a dret i com a deure de tots els veïns i veïnes, en el procediment d’inscripció al padró opera el silenci administratiu positiu (art. 24.1 de la Llei 39/2015, d’1 d’octubre), que confirma l’empadronament de la persona sol·licitant a tots els efectes si l’ajuntament no notifica l’oportuna resolució en el </w:t>
      </w:r>
      <w:proofErr w:type="spellStart"/>
      <w:r>
        <w:rPr>
          <w:rFonts w:ascii="Arial" w:eastAsia="Arial" w:hAnsi="Arial" w:cs="Arial"/>
        </w:rPr>
        <w:t>plaç</w:t>
      </w:r>
      <w:proofErr w:type="spellEnd"/>
      <w:r>
        <w:rPr>
          <w:rFonts w:ascii="Arial" w:eastAsia="Arial" w:hAnsi="Arial" w:cs="Arial"/>
        </w:rPr>
        <w:t xml:space="preserve"> de tres mesos des de la data de sol·licitud.</w:t>
      </w:r>
    </w:p>
    <w:p w14:paraId="0000000A" w14:textId="77777777" w:rsidR="00A84EEA" w:rsidRDefault="00EA715A">
      <w:pPr>
        <w:spacing w:before="240"/>
        <w:jc w:val="both"/>
        <w:rPr>
          <w:rFonts w:ascii="Arial" w:eastAsia="Arial" w:hAnsi="Arial" w:cs="Arial"/>
        </w:rPr>
      </w:pPr>
      <w:r>
        <w:rPr>
          <w:rFonts w:ascii="Arial" w:eastAsia="Arial" w:hAnsi="Arial" w:cs="Arial"/>
        </w:rPr>
        <w:t xml:space="preserve">La Generalitat de Catalunya ha posat en marxa, en els últims anys, una estratègia de sensibilització i formació sobre el dret a l’empadronament i l’obligació d’empadronar de les administracions. En aquesta s’hi reforça el que també menciona la monografia </w:t>
      </w:r>
      <w:r>
        <w:rPr>
          <w:rFonts w:ascii="Arial" w:eastAsia="Arial" w:hAnsi="Arial" w:cs="Arial"/>
          <w:i/>
        </w:rPr>
        <w:t>“'El dret a ser empadronat i la bona administració”</w:t>
      </w:r>
      <w:r>
        <w:rPr>
          <w:rFonts w:ascii="Arial" w:eastAsia="Arial" w:hAnsi="Arial" w:cs="Arial"/>
          <w:i/>
          <w:vertAlign w:val="superscript"/>
        </w:rPr>
        <w:footnoteReference w:id="1"/>
      </w:r>
      <w:r>
        <w:rPr>
          <w:rFonts w:ascii="Arial" w:eastAsia="Arial" w:hAnsi="Arial" w:cs="Arial"/>
        </w:rPr>
        <w:t xml:space="preserve"> del Fòrum de síndiques i síndics de Catalunya respecte al principi de la bona administració: l’Administració ha de considerar tots els elements rellevants per a la presa de decisió i descartar els que no ho són, situant-se en la millor situació possible per a prendre la decisió més adequada per l’interès general. Actualment, aquest interès general, ha de tenir en compte la greu situació d’exclusió residencial que es pateix a Catalunya, fent  encara més necessari que tots els municipis compleixin amb la seva obligació i impulsin polítiques d’empadronament actiu, per garantir que cap veí o veïna es vegi abocada a una situació d’exclusió. </w:t>
      </w:r>
    </w:p>
    <w:p w14:paraId="0000000B" w14:textId="77777777" w:rsidR="00A84EEA" w:rsidRDefault="00EA715A">
      <w:pPr>
        <w:spacing w:before="240"/>
        <w:jc w:val="both"/>
        <w:rPr>
          <w:rFonts w:ascii="Arial" w:eastAsia="Arial" w:hAnsi="Arial" w:cs="Arial"/>
        </w:rPr>
      </w:pPr>
      <w:r>
        <w:rPr>
          <w:rFonts w:ascii="Arial" w:eastAsia="Arial" w:hAnsi="Arial" w:cs="Arial"/>
        </w:rPr>
        <w:lastRenderedPageBreak/>
        <w:t>Posar obstacles, dificultar o negar l’empadronament de les persones al municipi on efectivament resideixen, no només és dificultar l’exercici de les seves obligacions, sinó que també obstaculitza l’accés a drets humans, especialment a col·lectius en situació de vulnerabilitat. A més, la disparitat de criteris dels diferents ajuntaments a l’hora d’empadronar comporta desigualtat territorial i suposa una penalització pels Ajuntaments que treballen assumint la protecció i el respecte dels drets de les persones i als qui cal reconèixer aquest compromís i esforç pel bon govern i per assolir una bona administració.</w:t>
      </w:r>
    </w:p>
    <w:p w14:paraId="0000000C" w14:textId="77777777" w:rsidR="00A84EEA" w:rsidRDefault="00A84EEA">
      <w:pPr>
        <w:spacing w:before="240"/>
        <w:jc w:val="both"/>
        <w:rPr>
          <w:rFonts w:ascii="Arial" w:eastAsia="Arial" w:hAnsi="Arial" w:cs="Arial"/>
        </w:rPr>
      </w:pPr>
    </w:p>
    <w:p w14:paraId="0000000D" w14:textId="77777777" w:rsidR="00A84EEA" w:rsidRDefault="00EA715A">
      <w:pPr>
        <w:spacing w:before="240"/>
        <w:jc w:val="both"/>
        <w:rPr>
          <w:rFonts w:ascii="Arial" w:eastAsia="Arial" w:hAnsi="Arial" w:cs="Arial"/>
        </w:rPr>
      </w:pPr>
      <w:r>
        <w:rPr>
          <w:rFonts w:ascii="Arial" w:eastAsia="Arial" w:hAnsi="Arial" w:cs="Arial"/>
        </w:rPr>
        <w:t>Per aquests motius, l’</w:t>
      </w:r>
      <w:r>
        <w:rPr>
          <w:rFonts w:ascii="Arial" w:eastAsia="Arial" w:hAnsi="Arial" w:cs="Arial"/>
          <w:color w:val="FF0000"/>
        </w:rPr>
        <w:t>Ajuntament xxx</w:t>
      </w:r>
      <w:r>
        <w:rPr>
          <w:rFonts w:ascii="Arial" w:eastAsia="Arial" w:hAnsi="Arial" w:cs="Arial"/>
        </w:rPr>
        <w:t xml:space="preserve"> acorda: </w:t>
      </w:r>
    </w:p>
    <w:p w14:paraId="0000000E" w14:textId="77777777" w:rsidR="00A84EEA" w:rsidRDefault="00EA715A">
      <w:pPr>
        <w:numPr>
          <w:ilvl w:val="0"/>
          <w:numId w:val="1"/>
        </w:numPr>
        <w:spacing w:before="240"/>
        <w:jc w:val="both"/>
        <w:rPr>
          <w:rFonts w:ascii="Arial" w:eastAsia="Arial" w:hAnsi="Arial" w:cs="Arial"/>
        </w:rPr>
      </w:pPr>
      <w:r>
        <w:rPr>
          <w:rFonts w:ascii="Arial" w:eastAsia="Arial" w:hAnsi="Arial" w:cs="Arial"/>
          <w:b/>
        </w:rPr>
        <w:t>Garantir que l’accés al padró a l’</w:t>
      </w:r>
      <w:r>
        <w:rPr>
          <w:rFonts w:ascii="Arial" w:eastAsia="Arial" w:hAnsi="Arial" w:cs="Arial"/>
          <w:b/>
          <w:color w:val="FF0000"/>
        </w:rPr>
        <w:t>ajuntament de XXX</w:t>
      </w:r>
      <w:r>
        <w:rPr>
          <w:rFonts w:ascii="Arial" w:eastAsia="Arial" w:hAnsi="Arial" w:cs="Arial"/>
        </w:rPr>
        <w:t xml:space="preserve">, i tots els tràmits associats a aquest registre, es facin amb la </w:t>
      </w:r>
      <w:r>
        <w:rPr>
          <w:rFonts w:ascii="Arial" w:eastAsia="Arial" w:hAnsi="Arial" w:cs="Arial"/>
          <w:b/>
        </w:rPr>
        <w:t>màxima diligència, respecte a la legalitat vigent i als drets de la ciutadania</w:t>
      </w:r>
      <w:r>
        <w:rPr>
          <w:rFonts w:ascii="Arial" w:eastAsia="Arial" w:hAnsi="Arial" w:cs="Arial"/>
        </w:rPr>
        <w:t>.</w:t>
      </w:r>
    </w:p>
    <w:p w14:paraId="0000000F" w14:textId="77777777" w:rsidR="00A84EEA" w:rsidRDefault="00EA715A">
      <w:pPr>
        <w:numPr>
          <w:ilvl w:val="0"/>
          <w:numId w:val="1"/>
        </w:numPr>
        <w:jc w:val="both"/>
        <w:rPr>
          <w:rFonts w:ascii="Arial" w:eastAsia="Arial" w:hAnsi="Arial" w:cs="Arial"/>
        </w:rPr>
      </w:pPr>
      <w:r>
        <w:rPr>
          <w:rFonts w:ascii="Arial" w:eastAsia="Arial" w:hAnsi="Arial" w:cs="Arial"/>
          <w:b/>
        </w:rPr>
        <w:t>Promoure polítiques d’empadronament actiu</w:t>
      </w:r>
      <w:r>
        <w:rPr>
          <w:rFonts w:ascii="Arial" w:eastAsia="Arial" w:hAnsi="Arial" w:cs="Arial"/>
        </w:rPr>
        <w:t xml:space="preserve">, com ara informar de tots els passos del tràmit d’alta al padró, així com dels diferents títols, documents, gestions i actuacions administratives que permeten acreditar la residència al municipi, tant a través de la web de l’Ajuntament com a través dels serveis d’atenció directa a la ciutadania. </w:t>
      </w:r>
    </w:p>
    <w:p w14:paraId="00000010" w14:textId="77777777" w:rsidR="00A84EEA" w:rsidRDefault="00EA715A">
      <w:pPr>
        <w:numPr>
          <w:ilvl w:val="0"/>
          <w:numId w:val="1"/>
        </w:numPr>
        <w:jc w:val="both"/>
        <w:rPr>
          <w:rFonts w:ascii="Arial" w:eastAsia="Arial" w:hAnsi="Arial" w:cs="Arial"/>
        </w:rPr>
      </w:pPr>
      <w:r>
        <w:rPr>
          <w:rFonts w:ascii="Arial" w:eastAsia="Arial" w:hAnsi="Arial" w:cs="Arial"/>
          <w:b/>
        </w:rPr>
        <w:t xml:space="preserve">Aplicar protocols clars i públics per als procediments d’alta al padró, </w:t>
      </w:r>
      <w:r>
        <w:rPr>
          <w:rFonts w:ascii="Arial" w:eastAsia="Arial" w:hAnsi="Arial" w:cs="Arial"/>
        </w:rPr>
        <w:t xml:space="preserve">sobretot per a casuístiques especials de persones en situació d’exclusió residencial  així com pels </w:t>
      </w:r>
      <w:r>
        <w:rPr>
          <w:rFonts w:ascii="Arial" w:eastAsia="Arial" w:hAnsi="Arial" w:cs="Arial"/>
          <w:b/>
        </w:rPr>
        <w:t>procediments de gestió i verificació de les dades aportades</w:t>
      </w:r>
      <w:r>
        <w:rPr>
          <w:rFonts w:ascii="Arial" w:eastAsia="Arial" w:hAnsi="Arial" w:cs="Arial"/>
        </w:rPr>
        <w:t>, deslligant les sol·licituds del padró de qualsevol altre tema relacionat amb la seguretat ciutadana, salubritat, condicions d’habitabilitat i/o altres similars objecte d’altres procediments desvinculats del registre al padró.</w:t>
      </w:r>
    </w:p>
    <w:p w14:paraId="00000011" w14:textId="77777777" w:rsidR="00A84EEA" w:rsidRDefault="00EA715A">
      <w:pPr>
        <w:numPr>
          <w:ilvl w:val="0"/>
          <w:numId w:val="1"/>
        </w:numPr>
        <w:jc w:val="both"/>
        <w:rPr>
          <w:rFonts w:ascii="Arial" w:eastAsia="Arial" w:hAnsi="Arial" w:cs="Arial"/>
        </w:rPr>
      </w:pPr>
      <w:r>
        <w:rPr>
          <w:rFonts w:ascii="Arial" w:eastAsia="Arial" w:hAnsi="Arial" w:cs="Arial"/>
          <w:b/>
        </w:rPr>
        <w:t>Recordar a la ciutadania i als gestors municipals del padró que documents com el títol de propietat, la cèdula d'habitabilitat o el contracte de lloguer no són obligatoris</w:t>
      </w:r>
      <w:r>
        <w:rPr>
          <w:rFonts w:ascii="Arial" w:eastAsia="Arial" w:hAnsi="Arial" w:cs="Arial"/>
        </w:rPr>
        <w:t xml:space="preserve"> ni imprescindibles per a l’alta al padró (tal com regula el </w:t>
      </w:r>
      <w:r>
        <w:rPr>
          <w:rFonts w:ascii="Arial" w:eastAsia="Arial" w:hAnsi="Arial" w:cs="Arial"/>
          <w:i/>
        </w:rPr>
        <w:t>Reial Decret 1690/1986</w:t>
      </w:r>
      <w:r>
        <w:rPr>
          <w:rFonts w:ascii="Arial" w:eastAsia="Arial" w:hAnsi="Arial" w:cs="Arial"/>
        </w:rPr>
        <w:t xml:space="preserve">) i que, per tant, es poden aportar altres tipus de documents, com factures de subministraments. </w:t>
      </w:r>
    </w:p>
    <w:p w14:paraId="00000012" w14:textId="77777777" w:rsidR="00A84EEA" w:rsidRDefault="00EA715A">
      <w:pPr>
        <w:numPr>
          <w:ilvl w:val="0"/>
          <w:numId w:val="1"/>
        </w:numPr>
        <w:jc w:val="both"/>
        <w:rPr>
          <w:rFonts w:ascii="Arial" w:eastAsia="Arial" w:hAnsi="Arial" w:cs="Arial"/>
        </w:rPr>
      </w:pPr>
      <w:r>
        <w:rPr>
          <w:rFonts w:ascii="Arial" w:eastAsia="Arial" w:hAnsi="Arial" w:cs="Arial"/>
          <w:b/>
        </w:rPr>
        <w:t>Recordar a la ciutadania i als gestors municipals del padró</w:t>
      </w:r>
      <w:r>
        <w:rPr>
          <w:rFonts w:ascii="Arial" w:eastAsia="Arial" w:hAnsi="Arial" w:cs="Arial"/>
        </w:rPr>
        <w:t xml:space="preserve"> que en els casos de </w:t>
      </w:r>
      <w:r>
        <w:rPr>
          <w:rFonts w:ascii="Arial" w:eastAsia="Arial" w:hAnsi="Arial" w:cs="Arial"/>
          <w:b/>
        </w:rPr>
        <w:t>situació d’exclusió residencial en què la persona no disposi de títol d’ocupació</w:t>
      </w:r>
      <w:r>
        <w:rPr>
          <w:rFonts w:ascii="Arial" w:eastAsia="Arial" w:hAnsi="Arial" w:cs="Arial"/>
        </w:rPr>
        <w:t xml:space="preserve">, tal com descriu la tipologia europea de </w:t>
      </w:r>
      <w:proofErr w:type="spellStart"/>
      <w:r>
        <w:rPr>
          <w:rFonts w:ascii="Arial" w:eastAsia="Arial" w:hAnsi="Arial" w:cs="Arial"/>
        </w:rPr>
        <w:t>sensellarisme</w:t>
      </w:r>
      <w:proofErr w:type="spellEnd"/>
      <w:r>
        <w:rPr>
          <w:rFonts w:ascii="Arial" w:eastAsia="Arial" w:hAnsi="Arial" w:cs="Arial"/>
        </w:rPr>
        <w:t xml:space="preserve"> i exclusió residencial, és a dir, en els casos de persones en situació de </w:t>
      </w:r>
      <w:r>
        <w:rPr>
          <w:rFonts w:ascii="Arial" w:eastAsia="Arial" w:hAnsi="Arial" w:cs="Arial"/>
          <w:b/>
        </w:rPr>
        <w:t>sense sostre</w:t>
      </w:r>
      <w:r>
        <w:rPr>
          <w:rFonts w:ascii="Arial" w:eastAsia="Arial" w:hAnsi="Arial" w:cs="Arial"/>
        </w:rPr>
        <w:t xml:space="preserve"> (en situació de carrer); </w:t>
      </w:r>
      <w:r>
        <w:rPr>
          <w:rFonts w:ascii="Arial" w:eastAsia="Arial" w:hAnsi="Arial" w:cs="Arial"/>
          <w:b/>
        </w:rPr>
        <w:t>sense habitatge</w:t>
      </w:r>
      <w:r>
        <w:rPr>
          <w:rFonts w:ascii="Arial" w:eastAsia="Arial" w:hAnsi="Arial" w:cs="Arial"/>
        </w:rPr>
        <w:t xml:space="preserve"> (refugis per a dones de forma temporal, allotjaments temporals reservats a persones migrades i demandants d’asil, institucions residencials o d’internament (presons, centres d’atenció sanitària, centres de menors, hospitals psiquiàtrics, etc.) amb un termini definit de sortida); </w:t>
      </w:r>
      <w:r>
        <w:rPr>
          <w:rFonts w:ascii="Arial" w:eastAsia="Arial" w:hAnsi="Arial" w:cs="Arial"/>
          <w:b/>
        </w:rPr>
        <w:t xml:space="preserve">habitatge insegur  </w:t>
      </w:r>
      <w:r>
        <w:rPr>
          <w:rFonts w:ascii="Arial" w:eastAsia="Arial" w:hAnsi="Arial" w:cs="Arial"/>
        </w:rPr>
        <w:t xml:space="preserve">(habitatge sense títol legal, viure temporalment amb familiars o amistats de forma involuntària, viure en un habitatge sense contracte d’arrendament, etc.); o </w:t>
      </w:r>
      <w:r>
        <w:rPr>
          <w:rFonts w:ascii="Arial" w:eastAsia="Arial" w:hAnsi="Arial" w:cs="Arial"/>
          <w:b/>
        </w:rPr>
        <w:t xml:space="preserve">inadequat </w:t>
      </w:r>
      <w:r>
        <w:rPr>
          <w:rFonts w:ascii="Arial" w:eastAsia="Arial" w:hAnsi="Arial" w:cs="Arial"/>
        </w:rPr>
        <w:t xml:space="preserve">(viure en una estructura temporal no convencional com una barraca, en un habitatge no apropiat segons la legislació estatal, en un habitatge massificat, etc.), </w:t>
      </w:r>
      <w:r>
        <w:rPr>
          <w:rFonts w:ascii="Arial" w:eastAsia="Arial" w:hAnsi="Arial" w:cs="Arial"/>
          <w:b/>
        </w:rPr>
        <w:t>s’ha de garantir la possibilitat d’empadronar-se al lloc on es manifesta que es viu</w:t>
      </w:r>
      <w:r>
        <w:rPr>
          <w:rFonts w:ascii="Arial" w:eastAsia="Arial" w:hAnsi="Arial" w:cs="Arial"/>
        </w:rPr>
        <w:t>, sempre que es pugui acreditar que s’hi viu, i que aquest fet no comporti un risc de perdre l’habitatge. En aquests últims casos,  es podrà empadronar en un domicili fictici de l’Ajuntament sempre que es pugui acreditar que aquella persona resideix al municipi. Aquesta comprovació es pot fer, o bé a través dels  serveis socials municipals si la persona hi està vinculada, o bé des de les entitats socials que les coneixen i acompanyen, que emetran un informe que acrediti la seva situació i se’ls assignarà una adreça municipal (institucional o d’entitat local) a efectes de comunicació, tal com preveu la normativa legal vigent.</w:t>
      </w:r>
    </w:p>
    <w:p w14:paraId="00000013" w14:textId="77777777" w:rsidR="00A84EEA" w:rsidRDefault="00EA715A">
      <w:pPr>
        <w:numPr>
          <w:ilvl w:val="0"/>
          <w:numId w:val="1"/>
        </w:numPr>
        <w:jc w:val="both"/>
        <w:rPr>
          <w:rFonts w:ascii="Arial" w:eastAsia="Arial" w:hAnsi="Arial" w:cs="Arial"/>
        </w:rPr>
      </w:pPr>
      <w:r>
        <w:rPr>
          <w:rFonts w:ascii="Arial" w:eastAsia="Arial" w:hAnsi="Arial" w:cs="Arial"/>
          <w:b/>
        </w:rPr>
        <w:t>Garantir que la tramitació i la resolució de les sol·licituds es compleix en el termini de tres mesos</w:t>
      </w:r>
      <w:r>
        <w:rPr>
          <w:rFonts w:ascii="Arial" w:eastAsia="Arial" w:hAnsi="Arial" w:cs="Arial"/>
        </w:rPr>
        <w:t xml:space="preserve"> que disposa l’article 21.3 de la Llei 39/2015 del procediment administratiu comú de les administracions públiques.</w:t>
      </w:r>
    </w:p>
    <w:p w14:paraId="00000014" w14:textId="77777777" w:rsidR="00A84EEA" w:rsidRDefault="00A84EEA">
      <w:pPr>
        <w:spacing w:before="240"/>
        <w:jc w:val="both"/>
        <w:rPr>
          <w:rFonts w:ascii="Arial" w:eastAsia="Arial" w:hAnsi="Arial" w:cs="Arial"/>
        </w:rPr>
      </w:pPr>
    </w:p>
    <w:p w14:paraId="00000015" w14:textId="77777777" w:rsidR="00A84EEA" w:rsidRDefault="00EA715A">
      <w:pPr>
        <w:spacing w:before="240"/>
        <w:jc w:val="both"/>
        <w:rPr>
          <w:rFonts w:ascii="Arial" w:eastAsia="Arial" w:hAnsi="Arial" w:cs="Arial"/>
        </w:rPr>
      </w:pPr>
      <w:r>
        <w:rPr>
          <w:rFonts w:ascii="Arial" w:eastAsia="Arial" w:hAnsi="Arial" w:cs="Arial"/>
        </w:rPr>
        <w:t>[Municipi, data]</w:t>
      </w:r>
    </w:p>
    <w:p w14:paraId="00000016" w14:textId="77777777" w:rsidR="00A84EEA" w:rsidRDefault="00A84EEA">
      <w:pPr>
        <w:rPr>
          <w:rFonts w:ascii="Arial" w:eastAsia="Arial" w:hAnsi="Arial" w:cs="Arial"/>
          <w:b/>
        </w:rPr>
      </w:pPr>
    </w:p>
    <w:p w14:paraId="00000017" w14:textId="77777777" w:rsidR="00A84EEA" w:rsidRDefault="00A84EEA">
      <w:pPr>
        <w:rPr>
          <w:rFonts w:ascii="Arial" w:eastAsia="Arial" w:hAnsi="Arial" w:cs="Arial"/>
          <w:b/>
        </w:rPr>
      </w:pPr>
    </w:p>
    <w:p w14:paraId="00000018" w14:textId="77777777" w:rsidR="00A84EEA" w:rsidRDefault="00A84EEA">
      <w:pPr>
        <w:rPr>
          <w:rFonts w:ascii="Arial" w:eastAsia="Arial" w:hAnsi="Arial" w:cs="Arial"/>
          <w:b/>
        </w:rPr>
      </w:pPr>
    </w:p>
    <w:p w14:paraId="00000019" w14:textId="77777777" w:rsidR="00A84EEA" w:rsidRDefault="00A84EEA">
      <w:pPr>
        <w:rPr>
          <w:rFonts w:ascii="Arial" w:eastAsia="Arial" w:hAnsi="Arial" w:cs="Arial"/>
          <w:b/>
        </w:rPr>
      </w:pPr>
    </w:p>
    <w:p w14:paraId="0000001A" w14:textId="77777777" w:rsidR="00A84EEA" w:rsidRDefault="00A84EEA">
      <w:pPr>
        <w:rPr>
          <w:rFonts w:ascii="Arial" w:eastAsia="Arial" w:hAnsi="Arial" w:cs="Arial"/>
          <w:b/>
        </w:rPr>
      </w:pPr>
    </w:p>
    <w:p w14:paraId="0000001B" w14:textId="77777777" w:rsidR="00A84EEA" w:rsidRDefault="00A84EEA">
      <w:pPr>
        <w:rPr>
          <w:rFonts w:ascii="Arial" w:eastAsia="Arial" w:hAnsi="Arial" w:cs="Arial"/>
          <w:b/>
        </w:rPr>
      </w:pPr>
    </w:p>
    <w:p w14:paraId="0000001C" w14:textId="77777777" w:rsidR="00A84EEA" w:rsidRDefault="00A84EEA">
      <w:pPr>
        <w:rPr>
          <w:rFonts w:ascii="Arial" w:eastAsia="Arial" w:hAnsi="Arial" w:cs="Arial"/>
          <w:b/>
        </w:rPr>
      </w:pPr>
    </w:p>
    <w:p w14:paraId="0000001D" w14:textId="77777777" w:rsidR="00A84EEA" w:rsidRDefault="00A84EEA">
      <w:pPr>
        <w:rPr>
          <w:rFonts w:ascii="Arial" w:eastAsia="Arial" w:hAnsi="Arial" w:cs="Arial"/>
          <w:b/>
        </w:rPr>
      </w:pPr>
    </w:p>
    <w:p w14:paraId="00000020" w14:textId="77777777" w:rsidR="00A84EEA" w:rsidRDefault="00A84EEA">
      <w:pPr>
        <w:rPr>
          <w:rFonts w:ascii="Instrument Sans" w:eastAsia="Instrument Sans" w:hAnsi="Instrument Sans" w:cs="Instrument Sans"/>
        </w:rPr>
      </w:pPr>
    </w:p>
    <w:sectPr w:rsidR="00A84EEA">
      <w:footerReference w:type="default" r:id="rId10"/>
      <w:pgSz w:w="11906" w:h="16838"/>
      <w:pgMar w:top="1418" w:right="1418" w:bottom="1418" w:left="1701" w:header="709" w:footer="709" w:gutter="0"/>
      <w:pgNumType w:start="1"/>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6F3872" w14:textId="77777777" w:rsidR="00B221D3" w:rsidRDefault="00B221D3">
      <w:r>
        <w:separator/>
      </w:r>
    </w:p>
  </w:endnote>
  <w:endnote w:type="continuationSeparator" w:id="0">
    <w:p w14:paraId="4F100650" w14:textId="77777777" w:rsidR="00B221D3" w:rsidRDefault="00B221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Instrument Sans">
    <w:altName w:val="Times New Roman"/>
    <w:charset w:val="00"/>
    <w:family w:val="auto"/>
    <w:pitch w:val="default"/>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000021" w14:textId="77777777" w:rsidR="00A84EEA" w:rsidRDefault="00A84EEA">
    <w:pPr>
      <w:rPr>
        <w:rFonts w:ascii="Arial" w:eastAsia="Arial" w:hAnsi="Arial" w:cs="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87C526" w14:textId="77777777" w:rsidR="00B221D3" w:rsidRDefault="00B221D3">
      <w:r>
        <w:separator/>
      </w:r>
    </w:p>
  </w:footnote>
  <w:footnote w:type="continuationSeparator" w:id="0">
    <w:p w14:paraId="5A35F2A4" w14:textId="77777777" w:rsidR="00B221D3" w:rsidRDefault="00B221D3">
      <w:r>
        <w:continuationSeparator/>
      </w:r>
    </w:p>
  </w:footnote>
  <w:footnote w:id="1">
    <w:p w14:paraId="00000022" w14:textId="77777777" w:rsidR="00A84EEA" w:rsidRDefault="00EA715A">
      <w:pPr>
        <w:rPr>
          <w:rFonts w:ascii="Arial" w:eastAsia="Arial" w:hAnsi="Arial" w:cs="Arial"/>
          <w:sz w:val="16"/>
          <w:szCs w:val="16"/>
        </w:rPr>
      </w:pPr>
      <w:r>
        <w:rPr>
          <w:vertAlign w:val="superscript"/>
        </w:rPr>
        <w:footnoteRef/>
      </w:r>
      <w:r>
        <w:rPr>
          <w:rFonts w:ascii="Arial" w:eastAsia="Arial" w:hAnsi="Arial" w:cs="Arial"/>
          <w:sz w:val="16"/>
          <w:szCs w:val="16"/>
        </w:rPr>
        <w:t xml:space="preserve"> El dret a ser empadronat i la bona administració - Monografia del Fòrum de síndiques i síndics locals de Catalunya </w:t>
      </w:r>
    </w:p>
    <w:p w14:paraId="00000023" w14:textId="77777777" w:rsidR="00A84EEA" w:rsidRDefault="00B221D3">
      <w:pPr>
        <w:rPr>
          <w:rFonts w:ascii="Arial" w:eastAsia="Arial" w:hAnsi="Arial" w:cs="Arial"/>
          <w:sz w:val="16"/>
          <w:szCs w:val="16"/>
        </w:rPr>
      </w:pPr>
      <w:hyperlink r:id="rId1">
        <w:r w:rsidR="00EA715A">
          <w:rPr>
            <w:rFonts w:ascii="Arial" w:eastAsia="Arial" w:hAnsi="Arial" w:cs="Arial"/>
            <w:color w:val="1155CC"/>
            <w:sz w:val="16"/>
            <w:szCs w:val="16"/>
            <w:u w:val="single"/>
          </w:rPr>
          <w:t>https://www.sindicatureslocals.cat/assets/files/2019/2019-10-30-Monografia-Empadronament.pdf</w:t>
        </w:r>
      </w:hyperlink>
    </w:p>
    <w:p w14:paraId="00000024" w14:textId="77777777" w:rsidR="00A84EEA" w:rsidRDefault="00A84EEA">
      <w:pPr>
        <w:rPr>
          <w:rFonts w:ascii="Arial" w:eastAsia="Arial" w:hAnsi="Arial" w:cs="Arial"/>
          <w:sz w:val="16"/>
          <w:szCs w:val="16"/>
        </w:rPr>
      </w:pPr>
    </w:p>
    <w:p w14:paraId="00000025" w14:textId="77777777" w:rsidR="00A84EEA" w:rsidRDefault="00A84EEA"/>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035CF8"/>
    <w:multiLevelType w:val="multilevel"/>
    <w:tmpl w:val="A886AC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A84EEA"/>
    <w:rsid w:val="00132C93"/>
    <w:rsid w:val="005838C2"/>
    <w:rsid w:val="00A84EEA"/>
    <w:rsid w:val="00B221D3"/>
    <w:rsid w:val="00EA715A"/>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Cambria"/>
        <w:lang w:val="ca-ES" w:eastAsia="ca-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styleId="Textodeglobo">
    <w:name w:val="Balloon Text"/>
    <w:basedOn w:val="Normal"/>
    <w:link w:val="TextodegloboCar"/>
    <w:uiPriority w:val="99"/>
    <w:semiHidden/>
    <w:unhideWhenUsed/>
    <w:rsid w:val="005838C2"/>
    <w:rPr>
      <w:rFonts w:ascii="Tahoma" w:hAnsi="Tahoma" w:cs="Tahoma"/>
      <w:sz w:val="16"/>
      <w:szCs w:val="16"/>
    </w:rPr>
  </w:style>
  <w:style w:type="character" w:customStyle="1" w:styleId="TextodegloboCar">
    <w:name w:val="Texto de globo Car"/>
    <w:basedOn w:val="Fuentedeprrafopredeter"/>
    <w:link w:val="Textodeglobo"/>
    <w:uiPriority w:val="99"/>
    <w:semiHidden/>
    <w:rsid w:val="005838C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Cambria"/>
        <w:lang w:val="ca-ES" w:eastAsia="ca-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styleId="Textodeglobo">
    <w:name w:val="Balloon Text"/>
    <w:basedOn w:val="Normal"/>
    <w:link w:val="TextodegloboCar"/>
    <w:uiPriority w:val="99"/>
    <w:semiHidden/>
    <w:unhideWhenUsed/>
    <w:rsid w:val="005838C2"/>
    <w:rPr>
      <w:rFonts w:ascii="Tahoma" w:hAnsi="Tahoma" w:cs="Tahoma"/>
      <w:sz w:val="16"/>
      <w:szCs w:val="16"/>
    </w:rPr>
  </w:style>
  <w:style w:type="character" w:customStyle="1" w:styleId="TextodegloboCar">
    <w:name w:val="Texto de globo Car"/>
    <w:basedOn w:val="Fuentedeprrafopredeter"/>
    <w:link w:val="Textodeglobo"/>
    <w:uiPriority w:val="99"/>
    <w:semiHidden/>
    <w:rsid w:val="005838C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_rels/footnotes.xml.rels><?xml version="1.0" encoding="UTF-8" standalone="yes"?>
<Relationships xmlns="http://schemas.openxmlformats.org/package/2006/relationships"><Relationship Id="rId1" Type="http://schemas.openxmlformats.org/officeDocument/2006/relationships/hyperlink" Target="https://www.sindicatureslocals.cat/assets/files/2019/2019-10-30-Monografia-Empadronament.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cE8iuZfysxfZw6LPEYZ/fyNsDLg==">CgMxLjA4AHIhMWJHel9TQldFRVU2OGxjdzhzU3VXZGcwOVhINTJEZzdm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1094</Words>
  <Characters>6242</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Agnès Felis</dc:creator>
  <cp:lastModifiedBy>Usuario de Windows</cp:lastModifiedBy>
  <cp:revision>2</cp:revision>
  <dcterms:created xsi:type="dcterms:W3CDTF">2025-02-10T10:37:00Z</dcterms:created>
  <dcterms:modified xsi:type="dcterms:W3CDTF">2025-02-10T10:37:00Z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0x01010083C388564F0CA84AA036940CD3C909DB</vt:lpwstr>
  </property>
  <property fmtid="{D5CDD505-2E9C-101B-9397-08002B2CF9AE}" pid="3" name="MediaServiceImageTags">
    <vt:lpwstr>MediaServiceImageTags</vt:lpwstr>
  </property>
</Properties>
</file>